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002E97D" w14:textId="353DFC9D" w:rsidR="00A14913" w:rsidRPr="00A24B8B" w:rsidRDefault="00525FDA" w:rsidP="00B8730D">
            <w:pPr>
              <w:spacing w:after="0"/>
              <w:rPr>
                <w:rFonts w:ascii="Times New Roman" w:hAnsi="Times New Roman"/>
                <w:sz w:val="18"/>
                <w:szCs w:val="18"/>
              </w:rPr>
            </w:pPr>
            <w:r w:rsidRPr="00A24B8B">
              <w:rPr>
                <w:rFonts w:ascii="Times New Roman" w:hAnsi="Times New Roman"/>
                <w:sz w:val="18"/>
                <w:szCs w:val="18"/>
              </w:rPr>
              <w:t xml:space="preserve">Kinnitatud </w:t>
            </w:r>
            <w:r w:rsidR="00A24B8B"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r w:rsidR="00A14913" w:rsidRPr="00A24B8B" w14:paraId="675769FC" w14:textId="77777777" w:rsidTr="00B8730D">
        <w:trPr>
          <w:trHeight w:val="1475"/>
        </w:trPr>
        <w:tc>
          <w:tcPr>
            <w:tcW w:w="2677" w:type="dxa"/>
            <w:shd w:val="clear" w:color="auto" w:fill="auto"/>
          </w:tcPr>
          <w:p w14:paraId="7F721031" w14:textId="77777777" w:rsidR="00085847" w:rsidRPr="00A24B8B" w:rsidRDefault="00A14913" w:rsidP="00D93537">
            <w:pPr>
              <w:spacing w:after="0"/>
              <w:rPr>
                <w:rFonts w:ascii="Times New Roman" w:hAnsi="Times New Roman"/>
                <w:sz w:val="18"/>
                <w:szCs w:val="18"/>
              </w:rPr>
            </w:pPr>
            <w:r w:rsidRPr="00A24B8B">
              <w:rPr>
                <w:rFonts w:ascii="Times New Roman" w:hAnsi="Times New Roman"/>
                <w:i/>
                <w:sz w:val="18"/>
                <w:szCs w:val="18"/>
              </w:rPr>
              <w:t>(allkirjastatud digitaalselt)</w:t>
            </w:r>
            <w:r w:rsidR="00AD73CA" w:rsidRPr="00A24B8B">
              <w:rPr>
                <w:rFonts w:ascii="Times New Roman" w:hAnsi="Times New Roman"/>
                <w:i/>
                <w:sz w:val="18"/>
                <w:szCs w:val="18"/>
              </w:rPr>
              <w:br/>
            </w:r>
            <w:r w:rsidR="00AD73CA" w:rsidRPr="00A24B8B">
              <w:rPr>
                <w:rFonts w:ascii="Times New Roman" w:hAnsi="Times New Roman"/>
                <w:sz w:val="18"/>
                <w:szCs w:val="18"/>
              </w:rPr>
              <w:br/>
              <w:t xml:space="preserve">Kooskõlastatud </w:t>
            </w:r>
          </w:p>
          <w:p w14:paraId="55E41A4A" w14:textId="77777777" w:rsidR="00085847" w:rsidRPr="00A24B8B" w:rsidRDefault="00085847" w:rsidP="00D93537">
            <w:pPr>
              <w:spacing w:after="0"/>
              <w:rPr>
                <w:rFonts w:ascii="Times New Roman" w:hAnsi="Times New Roman"/>
                <w:sz w:val="18"/>
                <w:szCs w:val="18"/>
              </w:rPr>
            </w:pPr>
            <w:r w:rsidRPr="00A24B8B">
              <w:rPr>
                <w:rFonts w:ascii="Times New Roman" w:hAnsi="Times New Roman"/>
                <w:sz w:val="18"/>
                <w:szCs w:val="18"/>
              </w:rPr>
              <w:t>(kuupäev digiallkirjas)</w:t>
            </w:r>
          </w:p>
          <w:p w14:paraId="2AD177B4" w14:textId="77777777" w:rsidR="00A14913" w:rsidRPr="00A24B8B" w:rsidRDefault="00AD73CA" w:rsidP="00D93537">
            <w:pPr>
              <w:spacing w:after="0"/>
              <w:rPr>
                <w:rFonts w:ascii="Times New Roman" w:hAnsi="Times New Roman"/>
                <w:sz w:val="18"/>
                <w:szCs w:val="18"/>
              </w:rPr>
            </w:pPr>
            <w:r w:rsidRPr="00A24B8B">
              <w:rPr>
                <w:rFonts w:ascii="Times New Roman" w:hAnsi="Times New Roman"/>
                <w:sz w:val="18"/>
                <w:szCs w:val="18"/>
              </w:rPr>
              <w:t xml:space="preserve">Kaia Sarnet </w:t>
            </w:r>
          </w:p>
          <w:p w14:paraId="40EA00AB" w14:textId="77777777" w:rsidR="00AD73CA" w:rsidRPr="00A24B8B" w:rsidRDefault="00B8730D" w:rsidP="00D93537">
            <w:pPr>
              <w:spacing w:after="0"/>
              <w:rPr>
                <w:rFonts w:ascii="Times New Roman" w:hAnsi="Times New Roman"/>
                <w:sz w:val="18"/>
                <w:szCs w:val="18"/>
              </w:rPr>
            </w:pPr>
            <w:r w:rsidRPr="00A24B8B">
              <w:rPr>
                <w:rFonts w:ascii="Times New Roman" w:hAnsi="Times New Roman"/>
                <w:sz w:val="18"/>
                <w:szCs w:val="18"/>
              </w:rPr>
              <w:t>Rahandusministeeriumi</w:t>
            </w:r>
            <w:r w:rsidR="00AD73CA" w:rsidRPr="00A24B8B">
              <w:rPr>
                <w:rFonts w:ascii="Times New Roman" w:hAnsi="Times New Roman"/>
                <w:sz w:val="18"/>
                <w:szCs w:val="18"/>
              </w:rPr>
              <w:t xml:space="preserve"> asekantsler</w:t>
            </w:r>
          </w:p>
          <w:p w14:paraId="6C287683" w14:textId="77777777" w:rsidR="00AD73CA" w:rsidRPr="00A24B8B" w:rsidRDefault="00AD73CA" w:rsidP="00D93537">
            <w:pPr>
              <w:spacing w:after="0"/>
              <w:rPr>
                <w:rFonts w:ascii="Times New Roman" w:hAnsi="Times New Roman"/>
                <w:i/>
                <w:sz w:val="18"/>
                <w:szCs w:val="18"/>
              </w:rPr>
            </w:pPr>
            <w:r w:rsidRPr="00A24B8B">
              <w:rPr>
                <w:rFonts w:ascii="Times New Roman" w:hAnsi="Times New Roman"/>
                <w:i/>
                <w:sz w:val="18"/>
                <w:szCs w:val="18"/>
              </w:rPr>
              <w:t>(allkirjastatud digitaalselt)</w:t>
            </w:r>
          </w:p>
        </w:tc>
      </w:tr>
    </w:tbl>
    <w:p w14:paraId="1F89E60E" w14:textId="77777777" w:rsidR="00A14913" w:rsidRPr="00A24B8B" w:rsidRDefault="00A14913" w:rsidP="00A14913">
      <w:pPr>
        <w:autoSpaceDE w:val="0"/>
        <w:autoSpaceDN w:val="0"/>
        <w:adjustRightInd w:val="0"/>
        <w:spacing w:after="0" w:line="240" w:lineRule="auto"/>
        <w:jc w:val="right"/>
        <w:rPr>
          <w:rFonts w:ascii="Times New Roman" w:hAnsi="Times New Roman"/>
          <w:b/>
          <w:bCs/>
        </w:rPr>
      </w:pPr>
    </w:p>
    <w:p w14:paraId="084B6415" w14:textId="77777777" w:rsidR="00A14913" w:rsidRPr="00A24B8B" w:rsidRDefault="00A14913" w:rsidP="00A14913">
      <w:pPr>
        <w:autoSpaceDE w:val="0"/>
        <w:autoSpaceDN w:val="0"/>
        <w:adjustRightInd w:val="0"/>
        <w:spacing w:after="0" w:line="240" w:lineRule="auto"/>
        <w:rPr>
          <w:rFonts w:ascii="Times New Roman" w:hAnsi="Times New Roman"/>
          <w:b/>
          <w:bCs/>
        </w:rPr>
      </w:pPr>
    </w:p>
    <w:p w14:paraId="4F4B278F" w14:textId="01CFAD01"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9F036F" w:rsidRPr="00A24B8B">
        <w:rPr>
          <w:rFonts w:ascii="Times New Roman" w:hAnsi="Times New Roman"/>
          <w:b/>
          <w:bCs/>
        </w:rPr>
        <w:t>201</w:t>
      </w:r>
      <w:r w:rsidR="00161BDC">
        <w:rPr>
          <w:rFonts w:ascii="Times New Roman" w:hAnsi="Times New Roman"/>
          <w:b/>
          <w:bCs/>
        </w:rPr>
        <w:t>9</w:t>
      </w:r>
      <w:bookmarkStart w:id="0" w:name="_GoBack"/>
      <w:bookmarkEnd w:id="0"/>
    </w:p>
    <w:p w14:paraId="1139800E" w14:textId="77777777" w:rsidR="00A14913" w:rsidRPr="00A24B8B"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istParagraph"/>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1DCA9A7" w:rsidR="00A14913" w:rsidRPr="00A24B8B" w:rsidRDefault="00A14913" w:rsidP="00A14913">
      <w:pPr>
        <w:pStyle w:val="ListParagraph"/>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B17969" w:rsidRPr="00A24B8B">
        <w:rPr>
          <w:rFonts w:ascii="Times New Roman" w:hAnsi="Times New Roman"/>
        </w:rPr>
        <w:t>201</w:t>
      </w:r>
      <w:r w:rsidR="00161BDC">
        <w:rPr>
          <w:rFonts w:ascii="Times New Roman" w:hAnsi="Times New Roman"/>
        </w:rPr>
        <w:t>9</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istParagraph"/>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istParagraph"/>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0745EFAD"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Pr="00A24B8B">
        <w:rPr>
          <w:rFonts w:ascii="Times New Roman" w:hAnsi="Times New Roman"/>
        </w:rPr>
        <w:tab/>
        <w:t xml:space="preserve"> 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0B433CF8"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 xml:space="preserve"> 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0AEAE479"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w:t>
      </w:r>
      <w:r w:rsidR="00747DE7">
        <w:rPr>
          <w:rFonts w:ascii="Times New Roman" w:hAnsi="Times New Roman"/>
        </w:rPr>
        <w:t>s</w:t>
      </w:r>
      <w:r w:rsidRPr="00A24B8B">
        <w:rPr>
          <w:rFonts w:ascii="Times New Roman" w:hAnsi="Times New Roman"/>
        </w:rPr>
        <w:t xml:space="preserv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 xml:space="preserve">Taotluste hindamistulemused vormistab komisjoni liige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6D71FE63"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Samuti on komisjonil õigus</w:t>
      </w:r>
      <w:r w:rsidRPr="00A24B8B">
        <w:rPr>
          <w:rFonts w:ascii="Times New Roman" w:hAnsi="Times New Roman"/>
        </w:rPr>
        <w:t xml:space="preserve"> vähendada kulu jaoks planeeritud summat, kui komisjoni arvates on kulu põhjendamatult suur projekti eesmärkide saavutamiseks. 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77777777" w:rsidR="00A14913" w:rsidRPr="00A24B8B" w:rsidRDefault="00A14913"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lastRenderedPageBreak/>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7471FD30" w:rsidR="000E0E00" w:rsidRPr="00A24B8B"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1</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02D18DB9"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2.2, 4.1 ja 4.2.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6.1 ja 6.2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2), taotlusvormi punktidest 2. ja 4.1 ning seal kirjeldatud tulemuste saavutamiseks taotlusvormis punktis 3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2</w:t>
      </w:r>
      <w:r w:rsidRPr="00A24B8B">
        <w:rPr>
          <w:rFonts w:ascii="Times New Roman" w:hAnsi="Times New Roman"/>
        </w:rPr>
        <w:t xml:space="preserve"> projektidele</w:t>
      </w:r>
    </w:p>
    <w:tbl>
      <w:tblPr>
        <w:tblStyle w:val="TableGrid"/>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3E61DC7C"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4.1 ja 4.2.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TableGrid"/>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4.3 ja 7.1</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7777777" w:rsidR="00A24B8B" w:rsidRPr="00A24B8B" w:rsidRDefault="00A24B8B" w:rsidP="00A24B8B">
      <w:pPr>
        <w:spacing w:after="0"/>
        <w:rPr>
          <w:rFonts w:ascii="Times New Roman" w:hAnsi="Times New Roman"/>
        </w:rPr>
      </w:pPr>
      <w:r w:rsidRPr="00A24B8B">
        <w:rPr>
          <w:rFonts w:ascii="Times New Roman" w:hAnsi="Times New Roman"/>
        </w:rPr>
        <w:t>7.1 Kas kogukonnateenuse väljatöötamisel on kohalik kogukond aktiivselt osalenud?.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TableGrid"/>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3), taotlusvormi punktidest 2. ja 4.1 ning seal kirjeldatud tulemuste saavutamiseks taotlusvormis punktis 3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TableGrid"/>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4B3D19D8" w14:textId="77777777" w:rsidR="008138B5" w:rsidRDefault="008138B5">
      <w:pPr>
        <w:rPr>
          <w:rFonts w:ascii="Times New Roman" w:hAnsi="Times New Roman"/>
          <w:u w:val="single"/>
        </w:rPr>
      </w:pPr>
      <w:r>
        <w:rPr>
          <w:rFonts w:ascii="Times New Roman" w:hAnsi="Times New Roman"/>
          <w:u w:val="single"/>
        </w:rPr>
        <w:br w:type="page"/>
      </w:r>
    </w:p>
    <w:p w14:paraId="7B394C35" w14:textId="13C42A28" w:rsidR="000B24FE" w:rsidRDefault="008138B5" w:rsidP="00A24B8B">
      <w:pPr>
        <w:spacing w:after="0"/>
        <w:rPr>
          <w:rFonts w:ascii="Times New Roman" w:hAnsi="Times New Roman"/>
        </w:rPr>
      </w:pPr>
      <w:r>
        <w:rPr>
          <w:rFonts w:ascii="Times New Roman" w:eastAsiaTheme="minorHAnsi" w:hAnsi="Times New Roman"/>
        </w:rPr>
        <w:lastRenderedPageBreak/>
        <w:t xml:space="preserve">LISA 3 – hindaja </w:t>
      </w:r>
      <w:r w:rsidRPr="00A24B8B">
        <w:rPr>
          <w:rFonts w:ascii="Times New Roman" w:hAnsi="Times New Roman"/>
        </w:rPr>
        <w:t>erapooletuse ja konfidentsiaalsuse deklaratsiooni</w:t>
      </w:r>
      <w:r>
        <w:rPr>
          <w:rFonts w:ascii="Times New Roman" w:hAnsi="Times New Roman"/>
        </w:rPr>
        <w:t xml:space="preserve"> näidis</w:t>
      </w:r>
    </w:p>
    <w:p w14:paraId="6791F248" w14:textId="6508A55F" w:rsidR="008138B5" w:rsidRDefault="008138B5" w:rsidP="00A24B8B">
      <w:pPr>
        <w:spacing w:after="0"/>
        <w:rPr>
          <w:rFonts w:ascii="Times New Roman" w:hAnsi="Times New Roman"/>
        </w:rPr>
      </w:pPr>
    </w:p>
    <w:p w14:paraId="0937D9E4" w14:textId="77777777" w:rsidR="008138B5" w:rsidRDefault="008138B5" w:rsidP="008138B5">
      <w:pPr>
        <w:spacing w:after="0"/>
        <w:jc w:val="right"/>
        <w:rPr>
          <w:rFonts w:ascii="Times New Roman" w:hAnsi="Times New Roman"/>
        </w:rPr>
      </w:pPr>
      <w:r w:rsidRPr="008138B5">
        <w:rPr>
          <w:rFonts w:ascii="Times New Roman" w:hAnsi="Times New Roman"/>
        </w:rPr>
        <w:t xml:space="preserve">KOP maakondliku hindamiskomisjoni   </w:t>
      </w:r>
    </w:p>
    <w:p w14:paraId="0BD6DDD7" w14:textId="390F2D1A" w:rsidR="008138B5" w:rsidRPr="008138B5" w:rsidRDefault="008138B5" w:rsidP="008138B5">
      <w:pPr>
        <w:spacing w:after="0"/>
        <w:jc w:val="right"/>
        <w:rPr>
          <w:rFonts w:ascii="Times New Roman" w:hAnsi="Times New Roman"/>
        </w:rPr>
      </w:pPr>
      <w:r w:rsidRPr="008138B5">
        <w:rPr>
          <w:rFonts w:ascii="Times New Roman" w:hAnsi="Times New Roman"/>
        </w:rPr>
        <w:t xml:space="preserve"> ……….201</w:t>
      </w:r>
      <w:r w:rsidR="00161BDC">
        <w:rPr>
          <w:rFonts w:ascii="Times New Roman" w:hAnsi="Times New Roman"/>
        </w:rPr>
        <w:t>9</w:t>
      </w:r>
      <w:r w:rsidRPr="008138B5">
        <w:rPr>
          <w:rFonts w:ascii="Times New Roman" w:hAnsi="Times New Roman"/>
        </w:rPr>
        <w:t xml:space="preserve"> koosoleku protokolli LISA </w:t>
      </w:r>
    </w:p>
    <w:p w14:paraId="4D093208" w14:textId="77777777" w:rsidR="008138B5" w:rsidRPr="008138B5" w:rsidRDefault="008138B5" w:rsidP="008138B5">
      <w:pPr>
        <w:spacing w:after="0"/>
        <w:rPr>
          <w:rFonts w:ascii="Times New Roman" w:hAnsi="Times New Roman"/>
        </w:rPr>
      </w:pPr>
    </w:p>
    <w:p w14:paraId="74D14E32" w14:textId="77777777" w:rsidR="008138B5" w:rsidRPr="008138B5" w:rsidRDefault="008138B5" w:rsidP="008138B5">
      <w:pPr>
        <w:spacing w:after="0"/>
        <w:rPr>
          <w:rFonts w:ascii="Times New Roman" w:hAnsi="Times New Roman"/>
        </w:rPr>
      </w:pPr>
    </w:p>
    <w:p w14:paraId="1CB1C695"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KOHALIKU OMAALGATUSE PROGRAMMI MAAKONDLIK HINDAMISKOMISJON</w:t>
      </w:r>
    </w:p>
    <w:p w14:paraId="6B1C03B0" w14:textId="77777777" w:rsidR="008138B5" w:rsidRPr="008138B5" w:rsidRDefault="008138B5" w:rsidP="008138B5">
      <w:pPr>
        <w:spacing w:after="0"/>
        <w:jc w:val="center"/>
        <w:rPr>
          <w:rFonts w:ascii="Times New Roman" w:hAnsi="Times New Roman"/>
          <w:b/>
        </w:rPr>
      </w:pPr>
    </w:p>
    <w:p w14:paraId="2CC674AB" w14:textId="77777777" w:rsidR="008138B5" w:rsidRPr="008138B5" w:rsidRDefault="008138B5" w:rsidP="008138B5">
      <w:pPr>
        <w:spacing w:after="0"/>
        <w:jc w:val="center"/>
        <w:rPr>
          <w:rFonts w:ascii="Times New Roman" w:hAnsi="Times New Roman"/>
          <w:b/>
        </w:rPr>
      </w:pPr>
      <w:r w:rsidRPr="008138B5">
        <w:rPr>
          <w:rFonts w:ascii="Times New Roman" w:hAnsi="Times New Roman"/>
          <w:b/>
        </w:rPr>
        <w:t>ERAPOOLETUSE JA KONFIDENTSIAALSUSE DEKLARATSIOON</w:t>
      </w:r>
    </w:p>
    <w:p w14:paraId="5476962B" w14:textId="77777777" w:rsidR="008138B5" w:rsidRPr="008138B5" w:rsidRDefault="008138B5" w:rsidP="008138B5">
      <w:pPr>
        <w:spacing w:after="0"/>
        <w:rPr>
          <w:rFonts w:ascii="Times New Roman" w:hAnsi="Times New Roman"/>
        </w:rPr>
      </w:pPr>
    </w:p>
    <w:p w14:paraId="646BC57D" w14:textId="77777777" w:rsidR="008138B5" w:rsidRPr="008138B5" w:rsidRDefault="008138B5" w:rsidP="008138B5">
      <w:pPr>
        <w:spacing w:after="0"/>
        <w:rPr>
          <w:rFonts w:ascii="Times New Roman" w:hAnsi="Times New Roman"/>
        </w:rPr>
      </w:pPr>
    </w:p>
    <w:p w14:paraId="15842C65" w14:textId="77777777" w:rsidR="008138B5" w:rsidRPr="008138B5" w:rsidRDefault="008138B5" w:rsidP="008138B5">
      <w:pPr>
        <w:spacing w:after="0"/>
        <w:rPr>
          <w:rFonts w:ascii="Times New Roman" w:hAnsi="Times New Roman"/>
        </w:rPr>
      </w:pPr>
      <w:r w:rsidRPr="008138B5">
        <w:rPr>
          <w:rFonts w:ascii="Times New Roman" w:hAnsi="Times New Roman"/>
        </w:rPr>
        <w:t>Mina allakirjutanu, olles Kohaliku omaalgatuse programmi ………. maakondliku hindamiskomisjoni liige, kinnitan, et:</w:t>
      </w:r>
    </w:p>
    <w:p w14:paraId="0AA7EC52" w14:textId="77777777" w:rsidR="008138B5" w:rsidRPr="008138B5" w:rsidRDefault="008138B5" w:rsidP="008138B5">
      <w:pPr>
        <w:spacing w:after="0"/>
        <w:rPr>
          <w:rFonts w:ascii="Times New Roman" w:hAnsi="Times New Roman"/>
        </w:rPr>
      </w:pPr>
    </w:p>
    <w:p w14:paraId="6721C028" w14:textId="48EA5885" w:rsid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taotluste hindamisel olen oma hinnete andmisel sõltumatu ja lähtun hindeid andes hindamiskriteeriumitest ja -metoodikast;</w:t>
      </w:r>
    </w:p>
    <w:p w14:paraId="14D5AB7B" w14:textId="1B95E46E"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taotluse hindamisest, kui olen seotud taotlusega ja olen olnud taotlejaga sellistes suhetes, mis võivad tekitada õigustatud kahtlusi minu objektiivsuses, sealhulgas juhul, kui mina või minuga seotud isik võib saada taotletava toetuse arvelt majanduslikku kasu;</w:t>
      </w:r>
    </w:p>
    <w:p w14:paraId="64204534" w14:textId="04E580E1"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taandan end igal juhul taotluse hindamisest, kui olen taotleja juhtorgani liige või projektijuht taotluses;</w:t>
      </w:r>
    </w:p>
    <w:p w14:paraId="450BCC95" w14:textId="77777777" w:rsidR="008138B5" w:rsidRPr="008138B5" w:rsidRDefault="008138B5" w:rsidP="001E5555">
      <w:pPr>
        <w:spacing w:after="0"/>
        <w:ind w:left="705" w:hanging="705"/>
        <w:rPr>
          <w:rFonts w:ascii="Times New Roman" w:hAnsi="Times New Roman"/>
        </w:rPr>
      </w:pPr>
      <w:r w:rsidRPr="008138B5">
        <w:rPr>
          <w:rFonts w:ascii="Times New Roman" w:hAnsi="Times New Roman"/>
        </w:rPr>
        <w:t>•</w:t>
      </w:r>
      <w:r w:rsidRPr="008138B5">
        <w:rPr>
          <w:rFonts w:ascii="Times New Roman" w:hAnsi="Times New Roman"/>
        </w:rPr>
        <w:tab/>
        <w:t xml:space="preserve">taandan end igal juhul taotluste hindamisest, kui taotleja juhtorgani liikmeks või projektijuhiks taotluses on korruptsioonivastase seaduse § 7 lg 1 mõistes minuga seotud isik (sh minu abikaasa, elukaaslane, vanavanem, minu või minu abikaasa vanem ning minu vanema </w:t>
      </w:r>
      <w:proofErr w:type="spellStart"/>
      <w:r w:rsidRPr="008138B5">
        <w:rPr>
          <w:rFonts w:ascii="Times New Roman" w:hAnsi="Times New Roman"/>
        </w:rPr>
        <w:t>alaneja</w:t>
      </w:r>
      <w:proofErr w:type="spellEnd"/>
      <w:r w:rsidRPr="008138B5">
        <w:rPr>
          <w:rFonts w:ascii="Times New Roman" w:hAnsi="Times New Roman"/>
        </w:rPr>
        <w:t xml:space="preserve"> sugulane, sealhulgas ka minu enda laps ja lapselaps);</w:t>
      </w:r>
    </w:p>
    <w:p w14:paraId="70B45129"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hoian konfidentsiaalsena mulle teatavaks saanud informatsiooni taotleja isikuandmete kohta;</w:t>
      </w:r>
    </w:p>
    <w:p w14:paraId="509A745A"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tagan taotluste hindamisel mulle teatavaks saanud informatsiooni konfidentsiaalsuse;</w:t>
      </w:r>
    </w:p>
    <w:p w14:paraId="506E6E3F"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ei avalikusta hindamistulemusi kolmandatele isikutele;</w:t>
      </w:r>
    </w:p>
    <w:p w14:paraId="378840A7" w14:textId="77777777" w:rsidR="008138B5" w:rsidRPr="008138B5" w:rsidRDefault="008138B5" w:rsidP="008138B5">
      <w:pPr>
        <w:spacing w:after="0"/>
        <w:rPr>
          <w:rFonts w:ascii="Times New Roman" w:hAnsi="Times New Roman"/>
        </w:rPr>
      </w:pPr>
      <w:r w:rsidRPr="008138B5">
        <w:rPr>
          <w:rFonts w:ascii="Times New Roman" w:hAnsi="Times New Roman"/>
        </w:rPr>
        <w:t>•</w:t>
      </w:r>
      <w:r w:rsidRPr="008138B5">
        <w:rPr>
          <w:rFonts w:ascii="Times New Roman" w:hAnsi="Times New Roman"/>
        </w:rPr>
        <w:tab/>
        <w:t xml:space="preserve">kasutan andmeid üksnes komisjoni tööks vajalikus ulatuses ning kehtestatud nõudeid järgides.    </w:t>
      </w:r>
    </w:p>
    <w:p w14:paraId="01251160" w14:textId="77777777" w:rsidR="008138B5" w:rsidRPr="008138B5" w:rsidRDefault="008138B5" w:rsidP="008138B5">
      <w:pPr>
        <w:spacing w:after="0"/>
        <w:rPr>
          <w:rFonts w:ascii="Times New Roman" w:hAnsi="Times New Roman"/>
        </w:rPr>
      </w:pPr>
    </w:p>
    <w:p w14:paraId="06184707" w14:textId="77777777" w:rsidR="008138B5" w:rsidRPr="008138B5" w:rsidRDefault="008138B5" w:rsidP="008138B5">
      <w:pPr>
        <w:spacing w:after="0"/>
        <w:rPr>
          <w:rFonts w:ascii="Times New Roman" w:hAnsi="Times New Roman"/>
        </w:rPr>
      </w:pPr>
    </w:p>
    <w:p w14:paraId="6C697F07"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263B30AE"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47C74479" w14:textId="77777777" w:rsidR="008138B5" w:rsidRPr="008138B5" w:rsidRDefault="008138B5" w:rsidP="008138B5">
      <w:pPr>
        <w:spacing w:after="0"/>
        <w:rPr>
          <w:rFonts w:ascii="Times New Roman" w:hAnsi="Times New Roman"/>
        </w:rPr>
      </w:pPr>
    </w:p>
    <w:p w14:paraId="429AB7D0"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448A88F2"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11B4725A" w14:textId="77777777" w:rsidR="008138B5" w:rsidRPr="008138B5" w:rsidRDefault="008138B5" w:rsidP="008138B5">
      <w:pPr>
        <w:spacing w:after="0"/>
        <w:rPr>
          <w:rFonts w:ascii="Times New Roman" w:hAnsi="Times New Roman"/>
        </w:rPr>
      </w:pPr>
    </w:p>
    <w:p w14:paraId="52939048"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0212ECBB"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2B107BDB" w14:textId="77777777" w:rsidR="008138B5" w:rsidRPr="008138B5" w:rsidRDefault="008138B5" w:rsidP="008138B5">
      <w:pPr>
        <w:spacing w:after="0"/>
        <w:rPr>
          <w:rFonts w:ascii="Times New Roman" w:hAnsi="Times New Roman"/>
        </w:rPr>
      </w:pPr>
    </w:p>
    <w:p w14:paraId="326C43B3"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7E6DEAE9" w14:textId="77777777" w:rsidR="008138B5" w:rsidRP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59D9F862" w14:textId="77777777" w:rsidR="008138B5" w:rsidRPr="008138B5" w:rsidRDefault="008138B5" w:rsidP="008138B5">
      <w:pPr>
        <w:spacing w:after="0"/>
        <w:rPr>
          <w:rFonts w:ascii="Times New Roman" w:hAnsi="Times New Roman"/>
        </w:rPr>
      </w:pPr>
    </w:p>
    <w:p w14:paraId="1A1ABEAA" w14:textId="77777777" w:rsidR="008138B5" w:rsidRPr="008138B5" w:rsidRDefault="008138B5" w:rsidP="008138B5">
      <w:pPr>
        <w:spacing w:after="0"/>
        <w:rPr>
          <w:rFonts w:ascii="Times New Roman" w:hAnsi="Times New Roman"/>
        </w:rPr>
      </w:pPr>
      <w:proofErr w:type="spellStart"/>
      <w:r w:rsidRPr="008138B5">
        <w:rPr>
          <w:rFonts w:ascii="Times New Roman" w:hAnsi="Times New Roman"/>
        </w:rPr>
        <w:t>Xxxxx</w:t>
      </w:r>
      <w:proofErr w:type="spellEnd"/>
      <w:r w:rsidRPr="008138B5">
        <w:rPr>
          <w:rFonts w:ascii="Times New Roman" w:hAnsi="Times New Roman"/>
        </w:rPr>
        <w:t xml:space="preserve"> </w:t>
      </w:r>
      <w:proofErr w:type="spellStart"/>
      <w:r w:rsidRPr="008138B5">
        <w:rPr>
          <w:rFonts w:ascii="Times New Roman" w:hAnsi="Times New Roman"/>
        </w:rPr>
        <w:t>Xxxxxx</w:t>
      </w:r>
      <w:proofErr w:type="spellEnd"/>
      <w:r w:rsidRPr="008138B5">
        <w:rPr>
          <w:rFonts w:ascii="Times New Roman" w:hAnsi="Times New Roman"/>
        </w:rPr>
        <w:tab/>
      </w:r>
      <w:r w:rsidRPr="008138B5">
        <w:rPr>
          <w:rFonts w:ascii="Times New Roman" w:hAnsi="Times New Roman"/>
        </w:rPr>
        <w:tab/>
        <w:t>……...………………………………………………………………</w:t>
      </w:r>
    </w:p>
    <w:p w14:paraId="17BD18F6" w14:textId="0F114B4A" w:rsidR="008138B5" w:rsidRDefault="008138B5" w:rsidP="008138B5">
      <w:pPr>
        <w:spacing w:after="0"/>
        <w:rPr>
          <w:rFonts w:ascii="Times New Roman" w:hAnsi="Times New Roman"/>
        </w:rPr>
      </w:pP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(kuupäev)</w:t>
      </w:r>
      <w:r w:rsidRPr="008138B5">
        <w:rPr>
          <w:rFonts w:ascii="Times New Roman" w:hAnsi="Times New Roman"/>
        </w:rPr>
        <w:tab/>
      </w:r>
      <w:r w:rsidRPr="008138B5">
        <w:rPr>
          <w:rFonts w:ascii="Times New Roman" w:hAnsi="Times New Roman"/>
        </w:rPr>
        <w:tab/>
      </w:r>
      <w:r w:rsidRPr="008138B5">
        <w:rPr>
          <w:rFonts w:ascii="Times New Roman" w:hAnsi="Times New Roman"/>
        </w:rPr>
        <w:tab/>
      </w:r>
      <w:r w:rsidRPr="008138B5">
        <w:rPr>
          <w:rFonts w:ascii="Times New Roman" w:hAnsi="Times New Roman"/>
        </w:rPr>
        <w:tab/>
        <w:t>(allkiri)</w:t>
      </w:r>
    </w:p>
    <w:p w14:paraId="305CF63D" w14:textId="795F5780" w:rsidR="008138B5" w:rsidRDefault="008138B5" w:rsidP="00A24B8B">
      <w:pPr>
        <w:spacing w:after="0"/>
        <w:rPr>
          <w:rFonts w:ascii="Times New Roman" w:hAnsi="Times New Roman"/>
        </w:rPr>
      </w:pPr>
    </w:p>
    <w:p w14:paraId="59ACC56E" w14:textId="77777777" w:rsidR="008138B5" w:rsidRPr="00A24B8B" w:rsidRDefault="008138B5" w:rsidP="00A24B8B">
      <w:pPr>
        <w:spacing w:after="0"/>
        <w:rPr>
          <w:rFonts w:ascii="Times New Roman" w:eastAsiaTheme="minorHAnsi" w:hAnsi="Times New Roman"/>
        </w:rPr>
      </w:pPr>
    </w:p>
    <w:sectPr w:rsidR="008138B5" w:rsidRPr="00A24B8B"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BCB"/>
    <w:rsid w:val="004E71D7"/>
    <w:rsid w:val="00506A81"/>
    <w:rsid w:val="005120C2"/>
    <w:rsid w:val="00524597"/>
    <w:rsid w:val="00525FDA"/>
    <w:rsid w:val="0052686D"/>
    <w:rsid w:val="00534D5E"/>
    <w:rsid w:val="005770F1"/>
    <w:rsid w:val="005F005C"/>
    <w:rsid w:val="0061003A"/>
    <w:rsid w:val="006471CB"/>
    <w:rsid w:val="00667E84"/>
    <w:rsid w:val="00674EEA"/>
    <w:rsid w:val="00675DE5"/>
    <w:rsid w:val="00675F35"/>
    <w:rsid w:val="006A4768"/>
    <w:rsid w:val="006A6777"/>
    <w:rsid w:val="006B0EBC"/>
    <w:rsid w:val="006E0CBE"/>
    <w:rsid w:val="006F2448"/>
    <w:rsid w:val="00707014"/>
    <w:rsid w:val="00747DE7"/>
    <w:rsid w:val="007529B7"/>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1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30191"/>
    <w:pPr>
      <w:ind w:left="720"/>
      <w:contextualSpacing/>
    </w:pPr>
  </w:style>
  <w:style w:type="table" w:styleId="TableGrid">
    <w:name w:val="Table Grid"/>
    <w:basedOn w:val="TableNorma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6471CB"/>
    <w:rPr>
      <w:sz w:val="16"/>
      <w:szCs w:val="16"/>
    </w:rPr>
  </w:style>
  <w:style w:type="paragraph" w:styleId="CommentText">
    <w:name w:val="annotation text"/>
    <w:basedOn w:val="Normal"/>
    <w:link w:val="CommentTextChar"/>
    <w:uiPriority w:val="99"/>
    <w:unhideWhenUsed/>
    <w:rsid w:val="006471CB"/>
    <w:rPr>
      <w:sz w:val="20"/>
      <w:szCs w:val="20"/>
    </w:rPr>
  </w:style>
  <w:style w:type="character" w:customStyle="1" w:styleId="CommentTextChar">
    <w:name w:val="Comment Text Char"/>
    <w:basedOn w:val="DefaultParagraphFont"/>
    <w:link w:val="CommentText"/>
    <w:uiPriority w:val="99"/>
    <w:rsid w:val="006471C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4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CB"/>
    <w:rPr>
      <w:rFonts w:ascii="Tahoma" w:eastAsia="Calibri" w:hAnsi="Tahoma" w:cs="Tahoma"/>
      <w:sz w:val="16"/>
      <w:szCs w:val="16"/>
    </w:rPr>
  </w:style>
  <w:style w:type="paragraph" w:styleId="PlainText">
    <w:name w:val="Plain Text"/>
    <w:basedOn w:val="Normal"/>
    <w:link w:val="PlainTextChar"/>
    <w:uiPriority w:val="99"/>
    <w:unhideWhenUsed/>
    <w:rsid w:val="00D14A26"/>
    <w:pPr>
      <w:spacing w:after="0" w:line="240" w:lineRule="auto"/>
    </w:pPr>
    <w:rPr>
      <w:rFonts w:ascii="Consolas" w:eastAsiaTheme="minorEastAsia" w:hAnsi="Consolas"/>
      <w:sz w:val="21"/>
      <w:szCs w:val="21"/>
      <w:lang w:eastAsia="et-EE"/>
    </w:rPr>
  </w:style>
  <w:style w:type="character" w:customStyle="1" w:styleId="PlainTextChar">
    <w:name w:val="Plain Text Char"/>
    <w:basedOn w:val="DefaultParagraphFont"/>
    <w:link w:val="PlainText"/>
    <w:uiPriority w:val="99"/>
    <w:rsid w:val="00D14A26"/>
    <w:rPr>
      <w:rFonts w:ascii="Consolas" w:eastAsiaTheme="minorEastAsia" w:hAnsi="Consolas" w:cs="Times New Roman"/>
      <w:sz w:val="21"/>
      <w:szCs w:val="21"/>
      <w:lang w:eastAsia="et-EE"/>
    </w:rPr>
  </w:style>
  <w:style w:type="character" w:styleId="Strong">
    <w:name w:val="Strong"/>
    <w:basedOn w:val="DefaultParagraphFont"/>
    <w:uiPriority w:val="22"/>
    <w:qFormat/>
    <w:rsid w:val="008E09C7"/>
    <w:rPr>
      <w:b/>
      <w:bCs/>
    </w:rPr>
  </w:style>
  <w:style w:type="paragraph" w:styleId="CommentSubject">
    <w:name w:val="annotation subject"/>
    <w:basedOn w:val="CommentText"/>
    <w:next w:val="CommentText"/>
    <w:link w:val="CommentSubjectChar"/>
    <w:uiPriority w:val="99"/>
    <w:semiHidden/>
    <w:unhideWhenUsed/>
    <w:rsid w:val="000D7A5B"/>
    <w:pPr>
      <w:spacing w:line="240" w:lineRule="auto"/>
    </w:pPr>
    <w:rPr>
      <w:b/>
      <w:bCs/>
    </w:rPr>
  </w:style>
  <w:style w:type="character" w:customStyle="1" w:styleId="CommentSubjectChar">
    <w:name w:val="Comment Subject Char"/>
    <w:basedOn w:val="CommentTextChar"/>
    <w:link w:val="CommentSubject"/>
    <w:uiPriority w:val="99"/>
    <w:semiHidden/>
    <w:rsid w:val="000D7A5B"/>
    <w:rPr>
      <w:rFonts w:ascii="Calibri" w:eastAsia="Calibri" w:hAnsi="Calibri" w:cs="Times New Roman"/>
      <w:b/>
      <w:bCs/>
      <w:sz w:val="20"/>
      <w:szCs w:val="20"/>
    </w:rPr>
  </w:style>
  <w:style w:type="character" w:customStyle="1" w:styleId="ListParagraphChar">
    <w:name w:val="List Paragraph Char"/>
    <w:link w:val="ListParagraph"/>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417D-F047-4082-A7A5-F5105B46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3140</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Tarmo Treimann</cp:lastModifiedBy>
  <cp:revision>2</cp:revision>
  <cp:lastPrinted>2015-02-06T10:33:00Z</cp:lastPrinted>
  <dcterms:created xsi:type="dcterms:W3CDTF">2019-02-14T07:29:00Z</dcterms:created>
  <dcterms:modified xsi:type="dcterms:W3CDTF">2019-02-14T07:29:00Z</dcterms:modified>
</cp:coreProperties>
</file>